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F02F" w14:textId="75A00B81" w:rsidR="00365B57" w:rsidRDefault="00365B57" w:rsidP="00D9087E">
      <w:pPr>
        <w:pStyle w:val="Heading1"/>
      </w:pPr>
      <w:bookmarkStart w:id="0" w:name="_Hlk123209053"/>
      <w:r>
        <w:t>Ohio</w:t>
      </w:r>
    </w:p>
    <w:p w14:paraId="17E64741" w14:textId="77777777" w:rsidR="00365B57" w:rsidRDefault="00365B57" w:rsidP="00742ED7"/>
    <w:p w14:paraId="50787A69" w14:textId="6B7F0508" w:rsidR="00742ED7" w:rsidRDefault="00742ED7" w:rsidP="00742ED7">
      <w:r>
        <w:t>Date last checked:</w:t>
      </w:r>
      <w:r w:rsidR="00783670">
        <w:t xml:space="preserve"> November 2022</w:t>
      </w:r>
    </w:p>
    <w:bookmarkEnd w:id="0"/>
    <w:p w14:paraId="3F71350A" w14:textId="77777777" w:rsidR="00696E62" w:rsidRDefault="00696E62" w:rsidP="00696E62">
      <w:pPr>
        <w:pStyle w:val="Heading2"/>
      </w:pPr>
      <w:r>
        <w:t>Legal Disclaimer</w:t>
      </w:r>
    </w:p>
    <w:p w14:paraId="750C912E" w14:textId="77777777" w:rsidR="00696E62" w:rsidRDefault="00696E62" w:rsidP="00696E62">
      <w:r>
        <w:t>Advocates for Service Animal Partners provides this material for informational purposes only. Material contained here is not legal advice. If you need legal advice, please contact an attorney licensed to practice law in your state.</w:t>
      </w:r>
    </w:p>
    <w:p w14:paraId="5D3F69D2" w14:textId="39DA6F90" w:rsidR="00C152C7" w:rsidRDefault="00C152C7"/>
    <w:p w14:paraId="09BDEA6F" w14:textId="77777777" w:rsidR="00AE59C2" w:rsidRDefault="00AE59C2" w:rsidP="00800E1B">
      <w:pPr>
        <w:pStyle w:val="Heading2"/>
      </w:pPr>
      <w:bookmarkStart w:id="1" w:name="_Hlk125189968"/>
      <w:r>
        <w:t>SUMMARY</w:t>
      </w:r>
    </w:p>
    <w:p w14:paraId="55D74DC2" w14:textId="27AE5392" w:rsidR="00AE59C2" w:rsidRDefault="00AE59C2" w:rsidP="00AE59C2">
      <w:r>
        <w:tab/>
        <w:t>The following statutes comprise Ohio’s pertinent service animal laws. These statutes provide criminal misdemeanor penalties (955.99(D)) for discriminating against a disabled individual accompanied by a service animal in public services, private companies providing public accommodations, and housing accommodations. These</w:t>
      </w:r>
      <w:r>
        <w:tab/>
        <w:t xml:space="preserve"> laws also provide graduated criminal penalties for interfering with, injuring, or killing a service animal. </w:t>
      </w:r>
      <w:bookmarkEnd w:id="1"/>
    </w:p>
    <w:p w14:paraId="6565B42C" w14:textId="092B1767" w:rsidR="00AE59C2" w:rsidRDefault="00AE59C2"/>
    <w:p w14:paraId="10230193" w14:textId="77777777" w:rsidR="00AE59C2" w:rsidRDefault="00AE59C2" w:rsidP="00800E1B">
      <w:pPr>
        <w:pStyle w:val="Heading3"/>
      </w:pPr>
      <w:r>
        <w:rPr>
          <w:rStyle w:val="Strong"/>
          <w:rFonts w:ascii="Arial" w:hAnsi="Arial" w:cs="Arial"/>
          <w:color w:val="000000"/>
        </w:rPr>
        <w:t>4925.06 Nondiscrimination</w:t>
      </w:r>
    </w:p>
    <w:p w14:paraId="2A001901"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(A) No transportation network company driver shall fail to comply with the nondiscrimination policy of a transportation network company for which the driver provides transportation network services if such a policy has been established or with any applicable law regarding nondiscrimination or the accommodation of service animals.</w:t>
      </w:r>
    </w:p>
    <w:p w14:paraId="60CC0278"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(B) No transportation network company shall charge any additional fee for providing transportation network company services to a person with a disability on the basis of the disability.</w:t>
      </w:r>
    </w:p>
    <w:p w14:paraId="0D879DE6"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(C) A transportation network company shall provide an option on the digital network of the transportation network company for a potential rider to request a wheelchair-accessible vehicle. If the transportation network company cannot arrange such a service for a potential rider who requests a wheelchair-accessible vehicle, the transportation network company shall direct the potential rider to another provider if possible.</w:t>
      </w:r>
    </w:p>
    <w:p w14:paraId="26C12E0A"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(2015 H 237, eff. 3-23-16)</w:t>
      </w:r>
    </w:p>
    <w:p w14:paraId="5C0FF2EC" w14:textId="77777777" w:rsidR="00AE59C2" w:rsidRDefault="00AE59C2" w:rsidP="00AE59C2"/>
    <w:p w14:paraId="6AE737E6" w14:textId="77777777" w:rsidR="00AE59C2" w:rsidRDefault="00AE59C2" w:rsidP="00AE59C2"/>
    <w:p w14:paraId="43586F89" w14:textId="77777777" w:rsidR="00AE59C2" w:rsidRDefault="00AE59C2" w:rsidP="00800E1B">
      <w:pPr>
        <w:pStyle w:val="Heading2"/>
      </w:pPr>
      <w:r>
        <w:rPr>
          <w:rStyle w:val="Strong"/>
          <w:rFonts w:ascii="Arial" w:hAnsi="Arial" w:cs="Arial"/>
          <w:color w:val="000000"/>
        </w:rPr>
        <w:lastRenderedPageBreak/>
        <w:t>General Provisions. Chapter 5. State Insignia; Seals; Holidays. Holidays</w:t>
      </w:r>
    </w:p>
    <w:p w14:paraId="32BBB3B6" w14:textId="77777777" w:rsidR="00AE59C2" w:rsidRDefault="00AE59C2" w:rsidP="00800E1B">
      <w:pPr>
        <w:pStyle w:val="Heading3"/>
      </w:pPr>
      <w:bookmarkStart w:id="2" w:name="s5_241"/>
      <w:bookmarkEnd w:id="2"/>
      <w:r>
        <w:rPr>
          <w:rStyle w:val="Strong"/>
          <w:rFonts w:ascii="Arial" w:hAnsi="Arial" w:cs="Arial"/>
          <w:color w:val="000000"/>
        </w:rPr>
        <w:t>5.241 Service Dog Awareness Week</w:t>
      </w:r>
    </w:p>
    <w:p w14:paraId="65EA17E5"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The last week of July is designated as “Service Dog Awareness Week” in recognition of the important role service dogs play in enhancing the lives of citizens with disabilities.</w:t>
      </w:r>
    </w:p>
    <w:p w14:paraId="60A390AB"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(2016 H 121, eff. 5-17-16)</w:t>
      </w:r>
    </w:p>
    <w:p w14:paraId="7DF1E036" w14:textId="77777777" w:rsidR="00AE59C2" w:rsidRDefault="00AE59C2" w:rsidP="00AE59C2"/>
    <w:p w14:paraId="43336DA1" w14:textId="77777777" w:rsidR="00AE59C2" w:rsidRDefault="00AE59C2" w:rsidP="00AE59C2"/>
    <w:p w14:paraId="270196A0" w14:textId="77777777" w:rsidR="00AE59C2" w:rsidRDefault="00AE59C2" w:rsidP="00800E1B">
      <w:pPr>
        <w:pStyle w:val="Heading3"/>
      </w:pPr>
      <w:r>
        <w:rPr>
          <w:rStyle w:val="Strong"/>
          <w:rFonts w:ascii="Arial" w:hAnsi="Arial" w:cs="Arial"/>
          <w:color w:val="000000"/>
        </w:rPr>
        <w:t xml:space="preserve">955.43 Rights of blind, </w:t>
      </w:r>
      <w:proofErr w:type="gramStart"/>
      <w:r>
        <w:rPr>
          <w:rStyle w:val="Strong"/>
          <w:rFonts w:ascii="Arial" w:hAnsi="Arial" w:cs="Arial"/>
          <w:color w:val="000000"/>
        </w:rPr>
        <w:t>deaf</w:t>
      </w:r>
      <w:proofErr w:type="gramEnd"/>
      <w:r>
        <w:rPr>
          <w:rStyle w:val="Strong"/>
          <w:rFonts w:ascii="Arial" w:hAnsi="Arial" w:cs="Arial"/>
          <w:color w:val="000000"/>
        </w:rPr>
        <w:t xml:space="preserve"> or hearing impaired or mobility impaired persons with assistance dogs; liability insurance</w:t>
      </w:r>
    </w:p>
    <w:p w14:paraId="02FC4980"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(A) When either a blind, deaf or hearing impaired, or mobility impaired person or a trainer of an assistance dog is accompanied by an assistance dog, the person or the trainer, as applicable, is entitled to the full and equal accommodations, advantages, facilities, and privileges of all public conveyances, hotels, lodging places, all places of public accommodation, amusement, or resort, all institutions of education, and other places to which the general public is invited, and may take the dog into such conveyances and places, subject only to the conditions and limitations applicable to all persons not so accompanied, except that:</w:t>
      </w:r>
    </w:p>
    <w:p w14:paraId="239C7105"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(1) The dog shall not occupy a seat in any public conveyance.</w:t>
      </w:r>
    </w:p>
    <w:p w14:paraId="43A8852A"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(2) The dog shall be upon a leash while using the facilities of a common carrier.</w:t>
      </w:r>
    </w:p>
    <w:p w14:paraId="33097D84"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(3) Any dog in training to become an assistance dog shall be covered by a liability insurance policy provided by the nonprofit special agency engaged in such work protecting members of the public against personal injury or property damage caused by the dog.</w:t>
      </w:r>
    </w:p>
    <w:p w14:paraId="0E2101F4"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(B) No person shall deprive a blind, deaf or hearing impaired, or mobility impaired person or a trainer of an assistance dog who is accompanied by an assistance dog of any of the advantages, facilities, or privileges provided in division (A) of this section, nor charge the person or trainer a fee or charge for the dog.</w:t>
      </w:r>
    </w:p>
    <w:p w14:paraId="2354AEAE"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(C) As used in this section, "institutions of education" means:</w:t>
      </w:r>
    </w:p>
    <w:p w14:paraId="02BE162B"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(1) Any state university or college as defined in section 3345.32 of the Revised Code;</w:t>
      </w:r>
    </w:p>
    <w:p w14:paraId="516511A3"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 xml:space="preserve">(2) Any private college or university that holds a certificate of authorization issued by the Ohio board of regents pursuant to Chapter 1713. of the Revised </w:t>
      </w:r>
      <w:proofErr w:type="gramStart"/>
      <w:r>
        <w:rPr>
          <w:rFonts w:ascii="Arial" w:hAnsi="Arial" w:cs="Arial"/>
          <w:color w:val="000000"/>
        </w:rPr>
        <w:t>Code;</w:t>
      </w:r>
      <w:proofErr w:type="gramEnd"/>
    </w:p>
    <w:p w14:paraId="2D6285E4"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(3) Any elementary or secondary school operated by a board of education;</w:t>
      </w:r>
    </w:p>
    <w:p w14:paraId="37B746FB"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 xml:space="preserve">(4) Any chartered or </w:t>
      </w:r>
      <w:proofErr w:type="spellStart"/>
      <w:r>
        <w:rPr>
          <w:rFonts w:ascii="Arial" w:hAnsi="Arial" w:cs="Arial"/>
          <w:color w:val="000000"/>
        </w:rPr>
        <w:t>nonchartered</w:t>
      </w:r>
      <w:proofErr w:type="spellEnd"/>
      <w:r>
        <w:rPr>
          <w:rFonts w:ascii="Arial" w:hAnsi="Arial" w:cs="Arial"/>
          <w:color w:val="000000"/>
        </w:rPr>
        <w:t xml:space="preserve"> nonpublic elementary or secondary </w:t>
      </w:r>
      <w:proofErr w:type="gramStart"/>
      <w:r>
        <w:rPr>
          <w:rFonts w:ascii="Arial" w:hAnsi="Arial" w:cs="Arial"/>
          <w:color w:val="000000"/>
        </w:rPr>
        <w:t>school;</w:t>
      </w:r>
      <w:proofErr w:type="gramEnd"/>
    </w:p>
    <w:p w14:paraId="0D2AEC25"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lastRenderedPageBreak/>
        <w:t>(5) Any school issued a certificate of registration by the state board of career colleges and schools.</w:t>
      </w:r>
    </w:p>
    <w:p w14:paraId="42B1FC91"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(2006 H 530, eff. 6-30-06; 2002 S 266, eff. 4-3-03; 1992 H 537, eff. 8-19-92; 1988 H 461; 1984 S 206; 1979 H 330; 1970 S 514; 1953 H 1; GC 5853)</w:t>
      </w:r>
    </w:p>
    <w:p w14:paraId="41331833" w14:textId="77777777" w:rsidR="00AE59C2" w:rsidRDefault="00AE59C2" w:rsidP="00AE59C2"/>
    <w:p w14:paraId="603427FA" w14:textId="77777777" w:rsidR="00AE59C2" w:rsidRDefault="00AE59C2" w:rsidP="00AE59C2"/>
    <w:p w14:paraId="4BEE9EA7" w14:textId="77777777" w:rsidR="00AE59C2" w:rsidRDefault="00AE59C2" w:rsidP="001E6829">
      <w:pPr>
        <w:pStyle w:val="Heading3"/>
      </w:pPr>
      <w:r>
        <w:rPr>
          <w:rStyle w:val="Strong"/>
          <w:rFonts w:ascii="Arial" w:hAnsi="Arial" w:cs="Arial"/>
          <w:color w:val="000000"/>
        </w:rPr>
        <w:t>955.011 Assistance dogs; permanent registration; definitions</w:t>
      </w:r>
    </w:p>
    <w:p w14:paraId="1C4937AC"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(A) When an application is made for registration of an assistance dog and the owner can show proof by certificate or other means that the dog is an assistance dog, the owner of the dog shall be exempt from any fee for the registration. Registration for an assistance dog shall be permanent and not subject to annual renewal so long as the dog is an assistance dog. Certificates and tags stamped “Ohio Assistance Dog-Permanent Registration,” with registration number, shall be issued upon registration of such a dog. Any certificate and tag stamped “Ohio Guide Dog-Permanent Registration” or “Ohio Hearing Dog-Permanent Registration,” with registration number, that was issued for a dog in accordance with this section as it existed prior to July 4, 1984, any certificate and tag stamped “Ohio Handicapped Assistance Dog-Permanent Registration,” with registration number, that was issued for a dog in accordance with this section as it existed on and after July 5, 1984, but prior to November 26, 2004, and any certificate and tag stamped “Ohio Service Dog-Permanent Registration,” with registration number, that was issued for a dog in accordance with this section as it existed on and after November 26, 2004, but prior to June 30, 2006, shall remain in effect as valid proof of the registration of the dog on and after November 26, 2004. Duplicate certificates and tags for a dog registered in accordance with this section, upon proper proof of loss, shall be issued and no fee required. Each duplicate certificate and tag that is issued shall be stamped “Ohio Assistance Dog-Permanent Registration.”</w:t>
      </w:r>
    </w:p>
    <w:p w14:paraId="3FE99481"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(B) As used in this section and in sections 955.16 and 955.43 of the Revised Code:</w:t>
      </w:r>
    </w:p>
    <w:p w14:paraId="7EF2FC97"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(1) “Mobility impaired person” means any person, regardless of age, who is subject to a physiological defect or deficiency regardless of its cause, nature, or extent that renders the person unable to move about without the aid of crutches, a wheelchair, or any other form of support, or that limits the person's functional ability to ambulate, climb, descend, sit, rise, or perform any related function. “Mobility impaired person” includes a person with a neurological or psychological disability that limits the person's functional ability to ambulate, climb, descend, sit, rise, or perform any related function. “Mobility impaired person” also includes a person with a seizure disorder and a person who is diagnosed with autism.</w:t>
      </w:r>
    </w:p>
    <w:p w14:paraId="4AD123FE"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(2) “Blind” means either of the following:</w:t>
      </w:r>
    </w:p>
    <w:p w14:paraId="545E99EB"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(a) Vision twenty/two hundred or less in the better eye with proper correction;</w:t>
      </w:r>
    </w:p>
    <w:p w14:paraId="4C43B39F"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lastRenderedPageBreak/>
        <w:t>(b) Field defect in the better eye with proper correction that contracts the peripheral field so that the diameter of the visual field subtends an angle no greater than twenty degrees.</w:t>
      </w:r>
    </w:p>
    <w:p w14:paraId="5C4EC023"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(3) “Assistance dog” means a guide dog, hearing dog, or service dog that has been trained by a nonprofit special agency.</w:t>
      </w:r>
    </w:p>
    <w:p w14:paraId="542DF5B3"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(4) “Guide dog” means a dog that has been trained or is in training to assist a blind person.</w:t>
      </w:r>
    </w:p>
    <w:p w14:paraId="0237BEF4"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(5) “Hearing dog” means a dog that has been trained or is in training to assist a deaf or hearing-impaired person.</w:t>
      </w:r>
    </w:p>
    <w:p w14:paraId="2FA551D6"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(6) “Service dog” means a dog that has been trained or is in training to assist a mobility impaired person.</w:t>
      </w:r>
    </w:p>
    <w:p w14:paraId="74414540"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CREDIT(S)</w:t>
      </w:r>
    </w:p>
    <w:p w14:paraId="070A962C" w14:textId="77777777" w:rsidR="00AE59C2" w:rsidRDefault="00AE59C2" w:rsidP="00AE59C2">
      <w:pPr>
        <w:pStyle w:val="NormalWeb"/>
        <w:spacing w:before="0" w:beforeAutospacing="0" w:after="264" w:afterAutospacing="0"/>
        <w:rPr>
          <w:rFonts w:ascii="Arial" w:hAnsi="Arial" w:cs="Arial"/>
          <w:color w:val="000000"/>
        </w:rPr>
      </w:pPr>
      <w:r>
        <w:rPr>
          <w:rFonts w:ascii="Arial" w:hAnsi="Arial" w:cs="Arial"/>
          <w:color w:val="000000"/>
        </w:rPr>
        <w:t>(2011 H 153, eff. 9-29-11; 2006 H 530, eff. 6-30-06; 2004 H 369, eff. 11-26-04; 1988 H 461, eff. 3-17-89; 1988 H 708; 1984 S 206; 1979 H 330; 1973 H 152;</w:t>
      </w:r>
    </w:p>
    <w:p w14:paraId="3C2FDB72" w14:textId="77777777" w:rsidR="00AE59C2" w:rsidRDefault="00AE59C2" w:rsidP="00AE59C2"/>
    <w:p w14:paraId="552D7B1F" w14:textId="78EFFAD0" w:rsidR="00AE59C2" w:rsidRDefault="004D2DEF" w:rsidP="001E6829">
      <w:pPr>
        <w:pStyle w:val="Heading3"/>
      </w:pPr>
      <w:r>
        <w:rPr>
          <w:rStyle w:val="Strong"/>
          <w:rFonts w:ascii="Lato" w:hAnsi="Lato"/>
          <w:color w:val="000000"/>
        </w:rPr>
        <w:t>955.99 Penalties.</w:t>
      </w:r>
    </w:p>
    <w:p w14:paraId="432C28B8" w14:textId="5C3E5FA6" w:rsidR="00AE59C2" w:rsidRDefault="004D2DEF">
      <w:r>
        <w:rPr>
          <w:rFonts w:ascii="Lato" w:hAnsi="Lato"/>
          <w:color w:val="000000"/>
        </w:rPr>
        <w:t>(D) Whoever violates division (F) of section 955.16 or division (B) of section 955.43 of the Revised Code is guilty of a misdemeanor of the fourth degree.</w:t>
      </w:r>
    </w:p>
    <w:p w14:paraId="35FC6A0F" w14:textId="77777777" w:rsidR="00DA7021" w:rsidRDefault="00DA7021" w:rsidP="00DA7021">
      <w:pPr>
        <w:pStyle w:val="NormalWeb"/>
        <w:spacing w:before="0" w:beforeAutospacing="0" w:after="264" w:afterAutospacing="0"/>
        <w:rPr>
          <w:rFonts w:ascii="Arial" w:hAnsi="Arial" w:cs="Arial"/>
          <w:color w:val="000000"/>
        </w:rPr>
      </w:pPr>
      <w:r>
        <w:rPr>
          <w:rStyle w:val="Strong"/>
          <w:rFonts w:ascii="Arial" w:hAnsi="Arial" w:cs="Arial"/>
          <w:color w:val="000000"/>
        </w:rPr>
        <w:t>2921.321 Assaulting a police dog or horse; harassing a police dog or horse; assaulting an assistance dog; harassing an assistance dog</w:t>
      </w:r>
    </w:p>
    <w:p w14:paraId="390B72E9"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(C) No person shall knowingly cause, or attempt to cause, physical harm to an assistance dog in either of the following circumstances:</w:t>
      </w:r>
    </w:p>
    <w:p w14:paraId="074416E3"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(1) The dog is assisting or serving a blind, deaf or hearing impaired, or mobility impaired person at the time the physical harm is caused or attempted.</w:t>
      </w:r>
    </w:p>
    <w:p w14:paraId="5A2EA575"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(2) The dog is not assisting or serving a blind, deaf or hearing impaired, or mobility impaired person at the time the physical harm is caused or attempted, but the offender has actual knowledge that the dog is an assistance dog.</w:t>
      </w:r>
    </w:p>
    <w:p w14:paraId="4A8E4CAD"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(D) No person shall recklessly do any of the following:</w:t>
      </w:r>
    </w:p>
    <w:p w14:paraId="50205426"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(1) Taunt, torment, or strike an assistance dog;</w:t>
      </w:r>
    </w:p>
    <w:p w14:paraId="034924B4"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(2) Throw an object or substance at an assistance dog;</w:t>
      </w:r>
    </w:p>
    <w:p w14:paraId="2811BA46"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lastRenderedPageBreak/>
        <w:t>(3) Interfere with or obstruct an assistance dog, or interfere with or obstruct a blind, deaf or hearing impaired, or mobility impaired person who is being assisted or served by an assistance dog, in a manner that does any of the following:</w:t>
      </w:r>
    </w:p>
    <w:p w14:paraId="4B23E1B4"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(a) Inhibits or restricts the assisted or served person's control of the dog;</w:t>
      </w:r>
    </w:p>
    <w:p w14:paraId="3A9691CE"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(b) Deprives the assisted or served person of control of the dog;</w:t>
      </w:r>
    </w:p>
    <w:p w14:paraId="3D645664"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(c) Releases the dog from its area of control;</w:t>
      </w:r>
    </w:p>
    <w:p w14:paraId="4D5309E7"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(d) Enters the area of control of the dog without the consent of the assisted or served person, including placing food or any other object or substance into that area;</w:t>
      </w:r>
    </w:p>
    <w:p w14:paraId="05AFB904"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(e) Inhibits or restricts the ability of the dog to assist the assisted or served person.</w:t>
      </w:r>
    </w:p>
    <w:p w14:paraId="4159769D"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(4) Engage in any conduct that is likely to cause serious physical injury or death to an assistance dog;</w:t>
      </w:r>
    </w:p>
    <w:p w14:paraId="20284CAA"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 xml:space="preserve">(5) If the person is the owner, keeper, or </w:t>
      </w:r>
      <w:proofErr w:type="spellStart"/>
      <w:r>
        <w:rPr>
          <w:rFonts w:ascii="Arial" w:hAnsi="Arial" w:cs="Arial"/>
          <w:color w:val="000000"/>
        </w:rPr>
        <w:t>harborer</w:t>
      </w:r>
      <w:proofErr w:type="spellEnd"/>
      <w:r>
        <w:rPr>
          <w:rFonts w:ascii="Arial" w:hAnsi="Arial" w:cs="Arial"/>
          <w:color w:val="000000"/>
        </w:rPr>
        <w:t xml:space="preserve"> of a dog, fail to reasonably restrain the dog from taunting, tormenting, chasing, approaching in a menacing fashion or apparent attitude of attack, or attempting to bite or otherwise endanger an assistance dog that at the time of the conduct is assisting or serving a blind, deaf or hearing impaired, or mobility impaired person or that the person knows is an assistance dog.</w:t>
      </w:r>
    </w:p>
    <w:p w14:paraId="48B4FF87" w14:textId="607C0180"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(E(3) Whoever violates division (C) of this section is guilty of assaulting an assistance dog. Except as otherwise provided in this division, assaulting an assistance dog is a misdemeanor of the second degree. If the violation results in the death of the assistance dog, assaulting an assistance dog is a felony of the third degree. If the violation results in serious physical harm to the assistance dog other than its death, assaulting an assistance dog is a felony of the fourth degree. If the violation results in physical harm to the assistance dog other than death or serious physical harm, assaulting an assistance dog is a misdemeanor of the first degree.</w:t>
      </w:r>
    </w:p>
    <w:p w14:paraId="62BBADD7"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(4) Whoever violates division (D) of this section is guilty of harassing an assistance dog. Except as otherwise provided in this division, harassing an assistance dog is a misdemeanor of the second degree. If the violation results in the death of the assistance dog, harassing an assistance dog is a felony of the third degree. If the violation results in serious physical harm to the assistance dog, but does not result in its death, harassing an assistance dog is a felony of the fourth degree. If the violation results in physical harm to the assistance dog, but does not result in its death or in serious physical harm to it, harassing an assistance dog is a misdemeanor of the first degree.</w:t>
      </w:r>
    </w:p>
    <w:p w14:paraId="5508FC1A"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(5) In addition to any other sanction or penalty imposed for the offense under this section, Chapter 2929., or any other provision of the Revised Code, whoever violates division (A), (B), (C), or (D) of this section is responsible for the payment of all of the following:</w:t>
      </w:r>
    </w:p>
    <w:p w14:paraId="54BC59F8"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lastRenderedPageBreak/>
        <w:t>(a) Any veterinary bill or bill for medication incurred as a result of the violation by the police department regarding a violation of division (A) or (B) of this section or by the blind, deaf or hearing impaired, or mobility impaired person assisted or served by the assistance dog regarding a violation of division (C) or (D) of this section;</w:t>
      </w:r>
    </w:p>
    <w:p w14:paraId="58D467D8"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(b) The cost of any damaged equipment that results from the violation;</w:t>
      </w:r>
    </w:p>
    <w:p w14:paraId="67A0A0C2"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(c) If the violation did not result in the death of the police dog or horse or the assistance dog that was the subject of the violation and if, as a result of that dog or horse being the subject of the violation, the dog or horse needs further training or retraining to be able to continue in the capacity of a police dog or horse or an assistance dog, the cost of any further training or retraining of that dog or horse by a law enforcement officer or by the blind, deaf or hearing impaired, or mobility impaired person assisted or served by the assistance dog;</w:t>
      </w:r>
    </w:p>
    <w:p w14:paraId="184423C5"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(d) If the violation resulted in the death of the assistance dog that was the subject of the violation or resulted in serious physical harm to the police dog or horse or the assistance dog or horse that was the subject of the violation to the extent that the dog or horse needs to be replaced on either a temporary or a permanent basis, the cost of replacing that dog or horse and of any further training of a new police dog or horse or a new assistance dog by a law enforcement officer or by the blind, deaf or hearing impaired, or mobility impaired person assisted or served by the assistance dog, which replacement or training is required because of the death of or the serious physical harm to the dog or horse that was the subject of the violation.</w:t>
      </w:r>
    </w:p>
    <w:p w14:paraId="091D089F"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(F) This section does not apply to a licensed veterinarian whose conduct is in accordance with Chapter 4741. of the Revised Code.</w:t>
      </w:r>
    </w:p>
    <w:p w14:paraId="39E07D40"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(G) This section only applies to an offender who knows or should know at the time of the violation that the police dog or horse or assistance dog that is the subject of a violation under this section is a police dog or horse or an assistance dog.</w:t>
      </w:r>
    </w:p>
    <w:p w14:paraId="7431D0A5"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(H) As used in this section:</w:t>
      </w:r>
    </w:p>
    <w:p w14:paraId="361E4653"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(1) “Physical harm” means any injury, illness, or other physiological impairment, regardless of its gravity or duration.</w:t>
      </w:r>
    </w:p>
    <w:p w14:paraId="427CA5B6"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(2) “Police dog or horse” means a dog or horse that has been trained, and may be used, to assist law enforcement officers in the performance of their official duties.</w:t>
      </w:r>
    </w:p>
    <w:p w14:paraId="42EDFC80"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(3) “Serious physical harm” means any of the following:</w:t>
      </w:r>
    </w:p>
    <w:p w14:paraId="3EFC9BFB"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(a) Any physical harm that carries a substantial risk of death;</w:t>
      </w:r>
    </w:p>
    <w:p w14:paraId="7BF8D215"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(b) Any physical harm that causes permanent maiming or that involves some temporary, substantial maiming;</w:t>
      </w:r>
    </w:p>
    <w:p w14:paraId="13A07108"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lastRenderedPageBreak/>
        <w:t>(c) Any physical harm that causes acute pain of a duration that results in substantial suffering.</w:t>
      </w:r>
    </w:p>
    <w:p w14:paraId="0D1D0E0F"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(4) “Assistance dog,” “blind,” and “mobility impaired person” have the same meanings as in section 955.011 of the Revised Code.</w:t>
      </w:r>
    </w:p>
    <w:p w14:paraId="2EB11A3C" w14:textId="77777777" w:rsidR="00DA7021" w:rsidRDefault="00DA7021" w:rsidP="00DA7021">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(2018 S 201, eff. 3-22-19; 2016 H 60, eff. 9-13-16; 2006 H 530, eff. 6-30-06; 2004 H 369, eff. 11-26-04; 2000 H 701, eff. 4-9-01; 1995 S 2, eff. 7-1-96;</w:t>
      </w:r>
    </w:p>
    <w:p w14:paraId="7AFEEBA6" w14:textId="2C2E83C0" w:rsidR="00DA7021" w:rsidRDefault="00DA7021"/>
    <w:p w14:paraId="0F8124D6" w14:textId="686ECF2D" w:rsidR="00CD40B5" w:rsidRDefault="00CD40B5"/>
    <w:p w14:paraId="79A21CE1" w14:textId="77777777" w:rsidR="00CD40B5" w:rsidRDefault="00CD40B5" w:rsidP="001E6829">
      <w:pPr>
        <w:pStyle w:val="Heading2"/>
      </w:pPr>
      <w:r>
        <w:rPr>
          <w:rStyle w:val="Strong"/>
          <w:rFonts w:ascii="Arial" w:hAnsi="Arial" w:cs="Arial"/>
          <w:color w:val="000000"/>
        </w:rPr>
        <w:t>Baldwin's Ohio Revised Code Annotated. Title XLV. Motor Vehicles--Aeronautics--Watercraft. Chapter 4511. Traffic Laws--Operation of Motor Vehicles. Right of Way</w:t>
      </w:r>
    </w:p>
    <w:p w14:paraId="5B3ACCF0" w14:textId="77777777" w:rsidR="00CD40B5" w:rsidRDefault="00CD40B5" w:rsidP="001E6829">
      <w:pPr>
        <w:pStyle w:val="Heading3"/>
      </w:pPr>
      <w:bookmarkStart w:id="3" w:name="s47"/>
      <w:bookmarkEnd w:id="3"/>
      <w:r>
        <w:rPr>
          <w:rStyle w:val="Strong"/>
          <w:rFonts w:ascii="Arial" w:hAnsi="Arial" w:cs="Arial"/>
          <w:color w:val="000000"/>
        </w:rPr>
        <w:t>4511.47 Right of way yielded to blind person; prohibition against use of white or metallic cane by others</w:t>
      </w:r>
    </w:p>
    <w:p w14:paraId="79D4EDEC" w14:textId="77777777" w:rsidR="00CD40B5" w:rsidRDefault="00CD40B5" w:rsidP="00CD40B5">
      <w:pPr>
        <w:pStyle w:val="NormalWeb"/>
        <w:spacing w:before="0" w:beforeAutospacing="0" w:after="264" w:afterAutospacing="0"/>
        <w:rPr>
          <w:rFonts w:ascii="Arial" w:hAnsi="Arial" w:cs="Arial"/>
          <w:color w:val="000000"/>
        </w:rPr>
      </w:pPr>
      <w:r>
        <w:rPr>
          <w:rFonts w:ascii="Arial" w:hAnsi="Arial" w:cs="Arial"/>
          <w:color w:val="000000"/>
        </w:rPr>
        <w:t>(A) As used in this section “blind person” or “blind pedestrian” means a person having not more than 20/200 visual acuity in the better eye with correcting lenses or visual acuity greater than 20/200 but with a limitation in the fields of vision such that the widest diameter of the visual field subtends an angle no greater than twenty degrees.</w:t>
      </w:r>
      <w:r>
        <w:rPr>
          <w:rFonts w:ascii="Arial" w:hAnsi="Arial" w:cs="Arial"/>
          <w:color w:val="000000"/>
        </w:rPr>
        <w:br/>
        <w:t>The driver of every vehicle shall yield the right of way to every blind pedestrian guided by a guide dog, or carrying a cane which is predominantly white or metallic in color, with or without a red tip.</w:t>
      </w:r>
    </w:p>
    <w:p w14:paraId="78B875A9" w14:textId="77777777" w:rsidR="00CD40B5" w:rsidRDefault="00CD40B5" w:rsidP="00CD40B5">
      <w:pPr>
        <w:pStyle w:val="NormalWeb"/>
        <w:spacing w:before="0" w:beforeAutospacing="0" w:after="264" w:afterAutospacing="0"/>
        <w:rPr>
          <w:rFonts w:ascii="Arial" w:hAnsi="Arial" w:cs="Arial"/>
          <w:color w:val="000000"/>
        </w:rPr>
      </w:pPr>
      <w:r>
        <w:rPr>
          <w:rFonts w:ascii="Arial" w:hAnsi="Arial" w:cs="Arial"/>
          <w:color w:val="000000"/>
        </w:rPr>
        <w:t>(B) No person, other than a blind person, while on any public highway, street, alley, or other public thoroughfare shall carry a white or metallic cane with or without a red tip.</w:t>
      </w:r>
    </w:p>
    <w:p w14:paraId="5786C935" w14:textId="77777777" w:rsidR="00CD40B5" w:rsidRDefault="00CD40B5" w:rsidP="00CD40B5">
      <w:pPr>
        <w:pStyle w:val="NormalWeb"/>
        <w:spacing w:before="0" w:beforeAutospacing="0" w:after="264" w:afterAutospacing="0"/>
        <w:rPr>
          <w:rFonts w:ascii="Arial" w:hAnsi="Arial" w:cs="Arial"/>
          <w:color w:val="000000"/>
        </w:rPr>
      </w:pPr>
      <w:r>
        <w:rPr>
          <w:rFonts w:ascii="Arial" w:hAnsi="Arial" w:cs="Arial"/>
          <w:color w:val="000000"/>
        </w:rPr>
        <w:t>(C) Except as otherwise provided in this division, whoever violates this section is guilty of a minor misdemeanor. If, within one year of the offense, the offender previously has been convicted of or pleaded guilty to one predicate motor vehicle or traffic offense, whoever violates this section is guilty of a misdemeanor of the fourth degree. If, within one year of the offense, the offender previously has been convicted of two or more predicate motor vehicle or traffic offenses, whoever violates this section is guilty of a misdemeanor of the third degree.</w:t>
      </w:r>
      <w:r>
        <w:rPr>
          <w:rFonts w:ascii="Arial" w:hAnsi="Arial" w:cs="Arial"/>
          <w:color w:val="000000"/>
        </w:rPr>
        <w:br/>
        <w:t>If the offender commits the offense while distracted and the distracting activity is a contributing factor to the commission of the offense, the offender is subject to the additional fine established under section 4511.991 of the Revised Code.</w:t>
      </w:r>
    </w:p>
    <w:p w14:paraId="68E1D6FC" w14:textId="77777777" w:rsidR="00CD40B5" w:rsidRDefault="00CD40B5" w:rsidP="00CD40B5">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(2018 H 95, eff. 10-29-18; 2002 S 123, eff. 1-1-04; 1970 S 514, eff. 7-16-70; 1953 H 1; GC 6307-45a to 6307-45c)</w:t>
      </w:r>
    </w:p>
    <w:p w14:paraId="7E0EDC57" w14:textId="584B469D" w:rsidR="00CD40B5" w:rsidRDefault="00CD40B5"/>
    <w:sectPr w:rsidR="00CD4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AD"/>
    <w:rsid w:val="00022777"/>
    <w:rsid w:val="000877C8"/>
    <w:rsid w:val="001E6829"/>
    <w:rsid w:val="00220EBE"/>
    <w:rsid w:val="00364A1F"/>
    <w:rsid w:val="00365B57"/>
    <w:rsid w:val="004C664B"/>
    <w:rsid w:val="004D2DEF"/>
    <w:rsid w:val="004E110E"/>
    <w:rsid w:val="005D4C35"/>
    <w:rsid w:val="00696E62"/>
    <w:rsid w:val="006D6EAB"/>
    <w:rsid w:val="007261EF"/>
    <w:rsid w:val="00742ED7"/>
    <w:rsid w:val="00783670"/>
    <w:rsid w:val="00800E1B"/>
    <w:rsid w:val="00830364"/>
    <w:rsid w:val="00AE59C2"/>
    <w:rsid w:val="00C152C7"/>
    <w:rsid w:val="00C650A8"/>
    <w:rsid w:val="00CA6DAD"/>
    <w:rsid w:val="00CD40B5"/>
    <w:rsid w:val="00D9087E"/>
    <w:rsid w:val="00DA7021"/>
    <w:rsid w:val="00DB4016"/>
    <w:rsid w:val="00F3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62E7"/>
  <w15:chartTrackingRefBased/>
  <w15:docId w15:val="{E79F9E77-45F1-4B47-B383-292C71D1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D7"/>
    <w:pPr>
      <w:spacing w:line="256" w:lineRule="auto"/>
    </w:pPr>
  </w:style>
  <w:style w:type="paragraph" w:styleId="Heading1">
    <w:name w:val="heading 1"/>
    <w:basedOn w:val="Normal"/>
    <w:next w:val="Normal"/>
    <w:link w:val="Heading1Char"/>
    <w:uiPriority w:val="9"/>
    <w:qFormat/>
    <w:rsid w:val="00D90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E6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0E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021"/>
    <w:rPr>
      <w:b/>
      <w:bCs/>
    </w:rPr>
  </w:style>
  <w:style w:type="character" w:customStyle="1" w:styleId="Heading1Char">
    <w:name w:val="Heading 1 Char"/>
    <w:basedOn w:val="DefaultParagraphFont"/>
    <w:link w:val="Heading1"/>
    <w:uiPriority w:val="9"/>
    <w:rsid w:val="00D908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6E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0E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015">
      <w:bodyDiv w:val="1"/>
      <w:marLeft w:val="0"/>
      <w:marRight w:val="0"/>
      <w:marTop w:val="0"/>
      <w:marBottom w:val="0"/>
      <w:divBdr>
        <w:top w:val="none" w:sz="0" w:space="0" w:color="auto"/>
        <w:left w:val="none" w:sz="0" w:space="0" w:color="auto"/>
        <w:bottom w:val="none" w:sz="0" w:space="0" w:color="auto"/>
        <w:right w:val="none" w:sz="0" w:space="0" w:color="auto"/>
      </w:divBdr>
    </w:div>
    <w:div w:id="298268863">
      <w:bodyDiv w:val="1"/>
      <w:marLeft w:val="0"/>
      <w:marRight w:val="0"/>
      <w:marTop w:val="0"/>
      <w:marBottom w:val="0"/>
      <w:divBdr>
        <w:top w:val="none" w:sz="0" w:space="0" w:color="auto"/>
        <w:left w:val="none" w:sz="0" w:space="0" w:color="auto"/>
        <w:bottom w:val="none" w:sz="0" w:space="0" w:color="auto"/>
        <w:right w:val="none" w:sz="0" w:space="0" w:color="auto"/>
      </w:divBdr>
    </w:div>
    <w:div w:id="536628175">
      <w:bodyDiv w:val="1"/>
      <w:marLeft w:val="0"/>
      <w:marRight w:val="0"/>
      <w:marTop w:val="0"/>
      <w:marBottom w:val="0"/>
      <w:divBdr>
        <w:top w:val="none" w:sz="0" w:space="0" w:color="auto"/>
        <w:left w:val="none" w:sz="0" w:space="0" w:color="auto"/>
        <w:bottom w:val="none" w:sz="0" w:space="0" w:color="auto"/>
        <w:right w:val="none" w:sz="0" w:space="0" w:color="auto"/>
      </w:divBdr>
    </w:div>
    <w:div w:id="552891837">
      <w:bodyDiv w:val="1"/>
      <w:marLeft w:val="0"/>
      <w:marRight w:val="0"/>
      <w:marTop w:val="0"/>
      <w:marBottom w:val="0"/>
      <w:divBdr>
        <w:top w:val="none" w:sz="0" w:space="0" w:color="auto"/>
        <w:left w:val="none" w:sz="0" w:space="0" w:color="auto"/>
        <w:bottom w:val="none" w:sz="0" w:space="0" w:color="auto"/>
        <w:right w:val="none" w:sz="0" w:space="0" w:color="auto"/>
      </w:divBdr>
    </w:div>
    <w:div w:id="553735094">
      <w:bodyDiv w:val="1"/>
      <w:marLeft w:val="0"/>
      <w:marRight w:val="0"/>
      <w:marTop w:val="0"/>
      <w:marBottom w:val="0"/>
      <w:divBdr>
        <w:top w:val="none" w:sz="0" w:space="0" w:color="auto"/>
        <w:left w:val="none" w:sz="0" w:space="0" w:color="auto"/>
        <w:bottom w:val="none" w:sz="0" w:space="0" w:color="auto"/>
        <w:right w:val="none" w:sz="0" w:space="0" w:color="auto"/>
      </w:divBdr>
    </w:div>
    <w:div w:id="1069764636">
      <w:bodyDiv w:val="1"/>
      <w:marLeft w:val="0"/>
      <w:marRight w:val="0"/>
      <w:marTop w:val="0"/>
      <w:marBottom w:val="0"/>
      <w:divBdr>
        <w:top w:val="none" w:sz="0" w:space="0" w:color="auto"/>
        <w:left w:val="none" w:sz="0" w:space="0" w:color="auto"/>
        <w:bottom w:val="none" w:sz="0" w:space="0" w:color="auto"/>
        <w:right w:val="none" w:sz="0" w:space="0" w:color="auto"/>
      </w:divBdr>
    </w:div>
    <w:div w:id="1418752469">
      <w:bodyDiv w:val="1"/>
      <w:marLeft w:val="0"/>
      <w:marRight w:val="0"/>
      <w:marTop w:val="0"/>
      <w:marBottom w:val="0"/>
      <w:divBdr>
        <w:top w:val="none" w:sz="0" w:space="0" w:color="auto"/>
        <w:left w:val="none" w:sz="0" w:space="0" w:color="auto"/>
        <w:bottom w:val="none" w:sz="0" w:space="0" w:color="auto"/>
        <w:right w:val="none" w:sz="0" w:space="0" w:color="auto"/>
      </w:divBdr>
    </w:div>
    <w:div w:id="1641691301">
      <w:bodyDiv w:val="1"/>
      <w:marLeft w:val="0"/>
      <w:marRight w:val="0"/>
      <w:marTop w:val="0"/>
      <w:marBottom w:val="0"/>
      <w:divBdr>
        <w:top w:val="none" w:sz="0" w:space="0" w:color="auto"/>
        <w:left w:val="none" w:sz="0" w:space="0" w:color="auto"/>
        <w:bottom w:val="none" w:sz="0" w:space="0" w:color="auto"/>
        <w:right w:val="none" w:sz="0" w:space="0" w:color="auto"/>
      </w:divBdr>
    </w:div>
    <w:div w:id="18722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7</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32</cp:revision>
  <dcterms:created xsi:type="dcterms:W3CDTF">2023-01-08T17:56:00Z</dcterms:created>
  <dcterms:modified xsi:type="dcterms:W3CDTF">2023-02-19T23:24:00Z</dcterms:modified>
</cp:coreProperties>
</file>